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3708AF89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>ECO ETS 42</w:t>
      </w:r>
    </w:p>
    <w:p w14:paraId="6342DE94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 xml:space="preserve">Elektromotorischer Drehflügelantrieb für 1-flg. Türen bis mit Edelstahlabdeckhaube </w:t>
      </w:r>
    </w:p>
    <w:p w14:paraId="1761BC5E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>Schließkraftgröße 2 – 4 für Türen von 750 bis 1100 mm.</w:t>
      </w:r>
    </w:p>
    <w:p w14:paraId="1B842B81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 xml:space="preserve">Für leichte bis </w:t>
      </w:r>
      <w:proofErr w:type="spellStart"/>
      <w:r w:rsidRPr="00E62B1A">
        <w:rPr>
          <w:rFonts w:eastAsia="Times New Roman" w:cs="Arial"/>
          <w:color w:val="000000"/>
          <w:lang w:eastAsia="de-DE"/>
        </w:rPr>
        <w:t>mittere</w:t>
      </w:r>
      <w:proofErr w:type="spellEnd"/>
      <w:r w:rsidRPr="00E62B1A">
        <w:rPr>
          <w:rFonts w:eastAsia="Times New Roman" w:cs="Arial"/>
          <w:color w:val="000000"/>
          <w:lang w:eastAsia="de-DE"/>
        </w:rPr>
        <w:t xml:space="preserve"> Innentüren bis zu 150 kg.</w:t>
      </w:r>
    </w:p>
    <w:p w14:paraId="3885C709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 xml:space="preserve"> </w:t>
      </w:r>
    </w:p>
    <w:p w14:paraId="7F316F92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 xml:space="preserve">Geprüft nach DIN 18650 und EN 16005, TÜV zertifiziert  </w:t>
      </w:r>
    </w:p>
    <w:p w14:paraId="269222EF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>Öffnungs- und Schließgeschwindigkeit variabel einstellbar.</w:t>
      </w:r>
    </w:p>
    <w:p w14:paraId="4F52FE12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spellStart"/>
      <w:r w:rsidRPr="00E62B1A">
        <w:rPr>
          <w:rFonts w:eastAsia="Times New Roman" w:cs="Arial"/>
          <w:color w:val="000000"/>
          <w:lang w:eastAsia="de-DE"/>
        </w:rPr>
        <w:t>max</w:t>
      </w:r>
      <w:proofErr w:type="spellEnd"/>
      <w:r w:rsidRPr="00E62B1A">
        <w:rPr>
          <w:rFonts w:eastAsia="Times New Roman" w:cs="Arial"/>
          <w:color w:val="000000"/>
          <w:lang w:eastAsia="de-DE"/>
        </w:rPr>
        <w:t xml:space="preserve"> 40 Grad / Sekunde</w:t>
      </w:r>
    </w:p>
    <w:p w14:paraId="3DE9CAD0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 xml:space="preserve">Einstellbare Federschließkraft (bei Funktion stromlos) </w:t>
      </w:r>
    </w:p>
    <w:p w14:paraId="4D1651F9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 xml:space="preserve">Edelstahlabdeckhaube mit Funktionstasten im Seitendeckel: Automatik – Dauer Auf – Hand (manuell). </w:t>
      </w:r>
    </w:p>
    <w:p w14:paraId="6C539113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 xml:space="preserve">Oberfläche Edelstahl gebürstet </w:t>
      </w:r>
    </w:p>
    <w:p w14:paraId="5CF17B04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 xml:space="preserve">Inkl. integrierter Montageplatte mit Einrastfunktion für leichte Montage </w:t>
      </w:r>
    </w:p>
    <w:p w14:paraId="37091EB2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>Einstellbare Funktionen:</w:t>
      </w:r>
    </w:p>
    <w:p w14:paraId="73EB6F1F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>Push &amp; Go Funktion ab 2° Öffnungswinkel.</w:t>
      </w:r>
    </w:p>
    <w:p w14:paraId="2A12FE03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spellStart"/>
      <w:r w:rsidRPr="00E62B1A">
        <w:rPr>
          <w:rFonts w:eastAsia="Times New Roman" w:cs="Arial"/>
          <w:color w:val="000000"/>
          <w:lang w:eastAsia="de-DE"/>
        </w:rPr>
        <w:t>Servo</w:t>
      </w:r>
      <w:proofErr w:type="spellEnd"/>
      <w:r w:rsidRPr="00E62B1A">
        <w:rPr>
          <w:rFonts w:eastAsia="Times New Roman" w:cs="Arial"/>
          <w:color w:val="000000"/>
          <w:lang w:eastAsia="de-DE"/>
        </w:rPr>
        <w:t>- Funktion für leichten Bedienkomfort (Kraftunterstützung)</w:t>
      </w:r>
    </w:p>
    <w:p w14:paraId="35A77568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 xml:space="preserve">Low Energy Funktion oder </w:t>
      </w:r>
      <w:proofErr w:type="spellStart"/>
      <w:r w:rsidRPr="00E62B1A">
        <w:rPr>
          <w:rFonts w:eastAsia="Times New Roman" w:cs="Arial"/>
          <w:color w:val="000000"/>
          <w:lang w:eastAsia="de-DE"/>
        </w:rPr>
        <w:t>Full</w:t>
      </w:r>
      <w:proofErr w:type="spellEnd"/>
      <w:r w:rsidRPr="00E62B1A">
        <w:rPr>
          <w:rFonts w:eastAsia="Times New Roman" w:cs="Arial"/>
          <w:color w:val="000000"/>
          <w:lang w:eastAsia="de-DE"/>
        </w:rPr>
        <w:t xml:space="preserve"> Power bis 150 kg </w:t>
      </w:r>
    </w:p>
    <w:p w14:paraId="744FF916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>elektronische Schließfolgeregelung für zweiflüglige Anlagen.</w:t>
      </w:r>
    </w:p>
    <w:p w14:paraId="3B13A6D2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>Ansteuerung von Sensorleisten, Radar oder externen Öffnungsgebern.</w:t>
      </w:r>
    </w:p>
    <w:p w14:paraId="7BF39A6E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>Mechanischer sowie motorunterstützter Endschlag einstellbar.</w:t>
      </w:r>
    </w:p>
    <w:p w14:paraId="4B786D7D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>Verzögerte Öffnungs- und Schließnachdrückzeit einstellbar (für E-Öffner und Motorschlösser).</w:t>
      </w:r>
    </w:p>
    <w:p w14:paraId="660D343E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 xml:space="preserve">Selbstüberwachte Fahrt mit </w:t>
      </w:r>
      <w:proofErr w:type="spellStart"/>
      <w:r w:rsidRPr="00E62B1A">
        <w:rPr>
          <w:rFonts w:eastAsia="Times New Roman" w:cs="Arial"/>
          <w:color w:val="000000"/>
          <w:lang w:eastAsia="de-DE"/>
        </w:rPr>
        <w:t>Blockiererkennung</w:t>
      </w:r>
      <w:proofErr w:type="spellEnd"/>
      <w:r w:rsidRPr="00E62B1A">
        <w:rPr>
          <w:rFonts w:eastAsia="Times New Roman" w:cs="Arial"/>
          <w:color w:val="000000"/>
          <w:lang w:eastAsia="de-DE"/>
        </w:rPr>
        <w:t>, Anfahrkraft einstellbar.</w:t>
      </w:r>
    </w:p>
    <w:p w14:paraId="239A1494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>Statusüberwachung: Integrierte Schnittstelle für Aufschaltung von bis zu 4 Relaiskontakten.</w:t>
      </w:r>
    </w:p>
    <w:p w14:paraId="69143460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472A3312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 xml:space="preserve"> </w:t>
      </w:r>
    </w:p>
    <w:p w14:paraId="38F61E78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>Ausführungsvarianten:</w:t>
      </w:r>
    </w:p>
    <w:p w14:paraId="54FBAEC5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E62B1A">
        <w:rPr>
          <w:rFonts w:eastAsia="Times New Roman" w:cs="Arial"/>
          <w:color w:val="000000"/>
          <w:lang w:eastAsia="de-DE"/>
        </w:rPr>
        <w:t>( )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Set ETS 42 SGS (mit Gestänge, Bandgegenseite)</w:t>
      </w:r>
    </w:p>
    <w:p w14:paraId="566C98DA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E62B1A">
        <w:rPr>
          <w:rFonts w:eastAsia="Times New Roman" w:cs="Arial"/>
          <w:color w:val="000000"/>
          <w:lang w:eastAsia="de-DE"/>
        </w:rPr>
        <w:t>( )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Set ETS 42 GS-ÖB (mit Gleitschiene, Band- oder Bandgegenseite) </w:t>
      </w:r>
    </w:p>
    <w:p w14:paraId="1F30C282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 xml:space="preserve">Plug- and Play, Einrichten, Programmieren, Einstellung der Parameter und Selbstlernfahrt durch integriertes Display mit Joy-Stick (Anzeige von Fehlercode, Diagnosemenü, </w:t>
      </w:r>
      <w:proofErr w:type="spellStart"/>
      <w:r w:rsidRPr="00E62B1A">
        <w:rPr>
          <w:rFonts w:eastAsia="Times New Roman" w:cs="Arial"/>
          <w:color w:val="000000"/>
          <w:lang w:eastAsia="de-DE"/>
        </w:rPr>
        <w:t>Zyklenzähler</w:t>
      </w:r>
      <w:proofErr w:type="spellEnd"/>
      <w:r w:rsidRPr="00E62B1A">
        <w:rPr>
          <w:rFonts w:eastAsia="Times New Roman" w:cs="Arial"/>
          <w:color w:val="000000"/>
          <w:lang w:eastAsia="de-DE"/>
        </w:rPr>
        <w:t>)</w:t>
      </w:r>
    </w:p>
    <w:p w14:paraId="2CA2AA81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>Öffnungs- und Schließgeschwindigkeit variabel einstellbar.</w:t>
      </w:r>
    </w:p>
    <w:p w14:paraId="7773CFF5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30FDD394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>Öffnungs- und Schließgeschwindigkeit variabel einstellbar.</w:t>
      </w:r>
    </w:p>
    <w:p w14:paraId="14AAAC0F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 xml:space="preserve">Offenhaltezeit einstellbar bis 180 </w:t>
      </w:r>
      <w:proofErr w:type="spellStart"/>
      <w:r w:rsidRPr="00E62B1A">
        <w:rPr>
          <w:rFonts w:eastAsia="Times New Roman" w:cs="Arial"/>
          <w:color w:val="000000"/>
          <w:lang w:eastAsia="de-DE"/>
        </w:rPr>
        <w:t>sek.</w:t>
      </w:r>
      <w:proofErr w:type="spellEnd"/>
      <w:r w:rsidRPr="00E62B1A">
        <w:rPr>
          <w:rFonts w:eastAsia="Times New Roman" w:cs="Arial"/>
          <w:color w:val="000000"/>
          <w:lang w:eastAsia="de-DE"/>
        </w:rPr>
        <w:t xml:space="preserve"> Max. Öffnungswinkel 105 Grad</w:t>
      </w:r>
    </w:p>
    <w:p w14:paraId="72978660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 xml:space="preserve"> </w:t>
      </w:r>
    </w:p>
    <w:p w14:paraId="3A0B034B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>Versorgungsspannung 230 V AC +/- 10 %, 50 Hz</w:t>
      </w:r>
    </w:p>
    <w:p w14:paraId="538A15CF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>Spannungsversorgung für externe Sicherheits- und Bedienelemente: 24 V DC, max. 1,4 A</w:t>
      </w:r>
    </w:p>
    <w:p w14:paraId="73737D90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>Leistungsaufnahme max. 350 W</w:t>
      </w:r>
    </w:p>
    <w:p w14:paraId="30A4F593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 xml:space="preserve"> </w:t>
      </w:r>
    </w:p>
    <w:p w14:paraId="436DD069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>Technische Merkmale:</w:t>
      </w:r>
    </w:p>
    <w:p w14:paraId="66E114F9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 xml:space="preserve">Antriebsmaße H </w:t>
      </w:r>
      <w:proofErr w:type="gramStart"/>
      <w:r w:rsidRPr="00E62B1A">
        <w:rPr>
          <w:rFonts w:eastAsia="Times New Roman" w:cs="Arial"/>
          <w:color w:val="000000"/>
          <w:lang w:eastAsia="de-DE"/>
        </w:rPr>
        <w:t>x T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x B:   70mm x 125mm x 730mm</w:t>
      </w:r>
    </w:p>
    <w:p w14:paraId="63EE8393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>Antriebsgewicht: 8,2 kg</w:t>
      </w:r>
    </w:p>
    <w:p w14:paraId="503A868D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lastRenderedPageBreak/>
        <w:t xml:space="preserve"> </w:t>
      </w:r>
    </w:p>
    <w:p w14:paraId="7048BB7E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>E-Öffner:</w:t>
      </w:r>
    </w:p>
    <w:p w14:paraId="314DBCAC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E62B1A">
        <w:rPr>
          <w:rFonts w:eastAsia="Times New Roman" w:cs="Arial"/>
          <w:color w:val="000000"/>
          <w:lang w:eastAsia="de-DE"/>
        </w:rPr>
        <w:t>( )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A-5002-B E-Öffner, 12/24 V</w:t>
      </w:r>
    </w:p>
    <w:p w14:paraId="0E4BDB8B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E62B1A">
        <w:rPr>
          <w:rFonts w:eastAsia="Times New Roman" w:cs="Arial"/>
          <w:color w:val="000000"/>
          <w:lang w:eastAsia="de-DE"/>
        </w:rPr>
        <w:t>( )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A-5002-FB E-Öffner mit Fallenführung, 12/24 V</w:t>
      </w:r>
    </w:p>
    <w:p w14:paraId="0F321ACC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E62B1A">
        <w:rPr>
          <w:rFonts w:eastAsia="Times New Roman" w:cs="Arial"/>
          <w:color w:val="000000"/>
          <w:lang w:eastAsia="de-DE"/>
        </w:rPr>
        <w:t>( )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RSK – Riegelschaltkontakt zum Stromlosschalten des ETS bei „Schloss verriegelt“</w:t>
      </w:r>
    </w:p>
    <w:p w14:paraId="103AB989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 xml:space="preserve"> </w:t>
      </w:r>
    </w:p>
    <w:p w14:paraId="37EC83CD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 xml:space="preserve">Sicherheitssensoren </w:t>
      </w:r>
      <w:proofErr w:type="spellStart"/>
      <w:r w:rsidRPr="00E62B1A">
        <w:rPr>
          <w:rFonts w:eastAsia="Times New Roman" w:cs="Arial"/>
          <w:color w:val="000000"/>
          <w:lang w:eastAsia="de-DE"/>
        </w:rPr>
        <w:t>gem</w:t>
      </w:r>
      <w:proofErr w:type="spellEnd"/>
      <w:r w:rsidRPr="00E62B1A">
        <w:rPr>
          <w:rFonts w:eastAsia="Times New Roman" w:cs="Arial"/>
          <w:color w:val="000000"/>
          <w:lang w:eastAsia="de-DE"/>
        </w:rPr>
        <w:t xml:space="preserve"> DIN 18650 / EN 16005:</w:t>
      </w:r>
    </w:p>
    <w:p w14:paraId="078930CF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spellStart"/>
      <w:r w:rsidRPr="00E62B1A">
        <w:rPr>
          <w:rFonts w:eastAsia="Times New Roman" w:cs="Arial"/>
          <w:color w:val="000000"/>
          <w:lang w:eastAsia="de-DE"/>
        </w:rPr>
        <w:t>Flatscan</w:t>
      </w:r>
      <w:proofErr w:type="spellEnd"/>
      <w:r w:rsidRPr="00E62B1A">
        <w:rPr>
          <w:rFonts w:eastAsia="Times New Roman" w:cs="Arial"/>
          <w:color w:val="000000"/>
          <w:lang w:eastAsia="de-DE"/>
        </w:rPr>
        <w:t xml:space="preserve"> Set (bis 1600 mm Flügelgröße) </w:t>
      </w:r>
    </w:p>
    <w:p w14:paraId="352226CE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>Laserscanner zur Absicherung des Drehbereiches der Tür und der Nebenschließkante. Set für Band- und Bandgegenseite, zur Montage auf das Türblatt, einfache Montage und Justierung durch vorinstallierte Software / selbsteinlernend.</w:t>
      </w:r>
    </w:p>
    <w:p w14:paraId="7A3769C0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 xml:space="preserve">Kabelübergang innenliegend oder aufliegend möglich. </w:t>
      </w:r>
    </w:p>
    <w:p w14:paraId="3AE0DE71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 xml:space="preserve">(Bei Einsatz an Außentüren ist die </w:t>
      </w:r>
      <w:proofErr w:type="spellStart"/>
      <w:r w:rsidRPr="00E62B1A">
        <w:rPr>
          <w:rFonts w:eastAsia="Times New Roman" w:cs="Arial"/>
          <w:color w:val="000000"/>
          <w:lang w:eastAsia="de-DE"/>
        </w:rPr>
        <w:t>Aussenseite</w:t>
      </w:r>
      <w:proofErr w:type="spellEnd"/>
      <w:r w:rsidRPr="00E62B1A">
        <w:rPr>
          <w:rFonts w:eastAsia="Times New Roman" w:cs="Arial"/>
          <w:color w:val="000000"/>
          <w:lang w:eastAsia="de-DE"/>
        </w:rPr>
        <w:t xml:space="preserve"> gegen wetterbedingte Einflüsse und Störungen zu schützen).</w:t>
      </w:r>
    </w:p>
    <w:p w14:paraId="5FC259E9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E62B1A">
        <w:rPr>
          <w:rFonts w:eastAsia="Times New Roman" w:cs="Arial"/>
          <w:color w:val="000000"/>
          <w:lang w:eastAsia="de-DE"/>
        </w:rPr>
        <w:t>( )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E62B1A">
        <w:rPr>
          <w:rFonts w:eastAsia="Times New Roman" w:cs="Arial"/>
          <w:color w:val="000000"/>
          <w:lang w:eastAsia="de-DE"/>
        </w:rPr>
        <w:t>Flatscanset</w:t>
      </w:r>
      <w:proofErr w:type="spellEnd"/>
      <w:r w:rsidRPr="00E62B1A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E62B1A">
        <w:rPr>
          <w:rFonts w:eastAsia="Times New Roman" w:cs="Arial"/>
          <w:color w:val="000000"/>
          <w:lang w:eastAsia="de-DE"/>
        </w:rPr>
        <w:t>sw</w:t>
      </w:r>
      <w:proofErr w:type="spellEnd"/>
      <w:r w:rsidRPr="00E62B1A">
        <w:rPr>
          <w:rFonts w:eastAsia="Times New Roman" w:cs="Arial"/>
          <w:color w:val="000000"/>
          <w:lang w:eastAsia="de-DE"/>
        </w:rPr>
        <w:t xml:space="preserve"> (Farbe schwarz)</w:t>
      </w:r>
    </w:p>
    <w:p w14:paraId="3E0016B6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E62B1A">
        <w:rPr>
          <w:rFonts w:eastAsia="Times New Roman" w:cs="Arial"/>
          <w:color w:val="000000"/>
          <w:lang w:eastAsia="de-DE"/>
        </w:rPr>
        <w:t>( )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E62B1A">
        <w:rPr>
          <w:rFonts w:eastAsia="Times New Roman" w:cs="Arial"/>
          <w:color w:val="000000"/>
          <w:lang w:eastAsia="de-DE"/>
        </w:rPr>
        <w:t>Flatscanset</w:t>
      </w:r>
      <w:proofErr w:type="spellEnd"/>
      <w:r w:rsidRPr="00E62B1A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E62B1A">
        <w:rPr>
          <w:rFonts w:eastAsia="Times New Roman" w:cs="Arial"/>
          <w:color w:val="000000"/>
          <w:lang w:eastAsia="de-DE"/>
        </w:rPr>
        <w:t>ws</w:t>
      </w:r>
      <w:proofErr w:type="spellEnd"/>
      <w:r w:rsidRPr="00E62B1A">
        <w:rPr>
          <w:rFonts w:eastAsia="Times New Roman" w:cs="Arial"/>
          <w:color w:val="000000"/>
          <w:lang w:eastAsia="de-DE"/>
        </w:rPr>
        <w:t xml:space="preserve"> (Farbe </w:t>
      </w:r>
      <w:proofErr w:type="spellStart"/>
      <w:r w:rsidRPr="00E62B1A">
        <w:rPr>
          <w:rFonts w:eastAsia="Times New Roman" w:cs="Arial"/>
          <w:color w:val="000000"/>
          <w:lang w:eastAsia="de-DE"/>
        </w:rPr>
        <w:t>weiß</w:t>
      </w:r>
      <w:proofErr w:type="spellEnd"/>
      <w:r w:rsidRPr="00E62B1A">
        <w:rPr>
          <w:rFonts w:eastAsia="Times New Roman" w:cs="Arial"/>
          <w:color w:val="000000"/>
          <w:lang w:eastAsia="de-DE"/>
        </w:rPr>
        <w:t>)</w:t>
      </w:r>
    </w:p>
    <w:p w14:paraId="24742081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E62B1A">
        <w:rPr>
          <w:rFonts w:eastAsia="Times New Roman" w:cs="Arial"/>
          <w:color w:val="000000"/>
          <w:lang w:eastAsia="de-DE"/>
        </w:rPr>
        <w:t>( )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E62B1A">
        <w:rPr>
          <w:rFonts w:eastAsia="Times New Roman" w:cs="Arial"/>
          <w:color w:val="000000"/>
          <w:lang w:eastAsia="de-DE"/>
        </w:rPr>
        <w:t>Flatscanset</w:t>
      </w:r>
      <w:proofErr w:type="spellEnd"/>
      <w:r w:rsidRPr="00E62B1A">
        <w:rPr>
          <w:rFonts w:eastAsia="Times New Roman" w:cs="Arial"/>
          <w:color w:val="000000"/>
          <w:lang w:eastAsia="de-DE"/>
        </w:rPr>
        <w:t xml:space="preserve"> si  (Farbe </w:t>
      </w:r>
      <w:proofErr w:type="spellStart"/>
      <w:r w:rsidRPr="00E62B1A">
        <w:rPr>
          <w:rFonts w:eastAsia="Times New Roman" w:cs="Arial"/>
          <w:color w:val="000000"/>
          <w:lang w:eastAsia="de-DE"/>
        </w:rPr>
        <w:t>silber</w:t>
      </w:r>
      <w:proofErr w:type="spellEnd"/>
      <w:r w:rsidRPr="00E62B1A">
        <w:rPr>
          <w:rFonts w:eastAsia="Times New Roman" w:cs="Arial"/>
          <w:color w:val="000000"/>
          <w:lang w:eastAsia="de-DE"/>
        </w:rPr>
        <w:t>)</w:t>
      </w:r>
    </w:p>
    <w:p w14:paraId="160FCD48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77430384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60EAE047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>Impulsgeber:</w:t>
      </w:r>
    </w:p>
    <w:p w14:paraId="2DAAF16A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E62B1A">
        <w:rPr>
          <w:rFonts w:eastAsia="Times New Roman" w:cs="Arial"/>
          <w:color w:val="000000"/>
          <w:lang w:eastAsia="de-DE"/>
        </w:rPr>
        <w:t>( )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ECO GFT, Großflächentaster, Funktion Tür Auf, </w:t>
      </w:r>
      <w:proofErr w:type="spellStart"/>
      <w:r w:rsidRPr="00E62B1A">
        <w:rPr>
          <w:rFonts w:eastAsia="Times New Roman" w:cs="Arial"/>
          <w:color w:val="000000"/>
          <w:lang w:eastAsia="de-DE"/>
        </w:rPr>
        <w:t>weiss</w:t>
      </w:r>
      <w:proofErr w:type="spellEnd"/>
    </w:p>
    <w:p w14:paraId="11FC3F62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E62B1A">
        <w:rPr>
          <w:rFonts w:eastAsia="Times New Roman" w:cs="Arial"/>
          <w:color w:val="000000"/>
          <w:lang w:eastAsia="de-DE"/>
        </w:rPr>
        <w:t>( )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GFT-UP-ER, Großflächentaster System Jung, Edelstahl</w:t>
      </w:r>
    </w:p>
    <w:p w14:paraId="15185E35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E62B1A">
        <w:rPr>
          <w:rFonts w:eastAsia="Times New Roman" w:cs="Arial"/>
          <w:color w:val="000000"/>
          <w:lang w:eastAsia="de-DE"/>
        </w:rPr>
        <w:t>( )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E62B1A">
        <w:rPr>
          <w:rFonts w:eastAsia="Times New Roman" w:cs="Arial"/>
          <w:color w:val="000000"/>
          <w:lang w:eastAsia="de-DE"/>
        </w:rPr>
        <w:t>Funkset</w:t>
      </w:r>
      <w:proofErr w:type="spellEnd"/>
      <w:r w:rsidRPr="00E62B1A">
        <w:rPr>
          <w:rFonts w:eastAsia="Times New Roman" w:cs="Arial"/>
          <w:color w:val="000000"/>
          <w:lang w:eastAsia="de-DE"/>
        </w:rPr>
        <w:t xml:space="preserve"> ECO GFT, Einbauset, Reichweite bis 30 m</w:t>
      </w:r>
    </w:p>
    <w:p w14:paraId="62E2D54B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E62B1A">
        <w:rPr>
          <w:rFonts w:eastAsia="Times New Roman" w:cs="Arial"/>
          <w:color w:val="000000"/>
          <w:lang w:eastAsia="de-DE"/>
        </w:rPr>
        <w:t>( )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ECO BFT 100, berührungsloser Taster, beleuchtet</w:t>
      </w:r>
    </w:p>
    <w:p w14:paraId="331D875F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E62B1A">
        <w:rPr>
          <w:rFonts w:eastAsia="Times New Roman" w:cs="Arial"/>
          <w:color w:val="000000"/>
          <w:lang w:eastAsia="de-DE"/>
        </w:rPr>
        <w:t>( )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PRS-04, Programmschalter mit 4 frei belegbaren Funktionen </w:t>
      </w:r>
    </w:p>
    <w:p w14:paraId="0EDF1B49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E62B1A">
        <w:rPr>
          <w:rFonts w:eastAsia="Times New Roman" w:cs="Arial"/>
          <w:color w:val="000000"/>
          <w:lang w:eastAsia="de-DE"/>
        </w:rPr>
        <w:t>( )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ST-01 AP, Schlüsseltaster Aufputz</w:t>
      </w:r>
    </w:p>
    <w:p w14:paraId="202675D8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E62B1A">
        <w:rPr>
          <w:rFonts w:eastAsia="Times New Roman" w:cs="Arial"/>
          <w:color w:val="000000"/>
          <w:lang w:eastAsia="de-DE"/>
        </w:rPr>
        <w:t>( )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ST-02 UP, Schlüsseltaster Unterputz</w:t>
      </w:r>
    </w:p>
    <w:p w14:paraId="7E83AD64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E62B1A">
        <w:rPr>
          <w:rFonts w:eastAsia="Times New Roman" w:cs="Arial"/>
          <w:color w:val="000000"/>
          <w:lang w:eastAsia="de-DE"/>
        </w:rPr>
        <w:t>( )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ST-03 AP IP 44, Schlüsseltaster Aufputz, für Außenmontage</w:t>
      </w:r>
    </w:p>
    <w:p w14:paraId="1C9FD1F0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E62B1A">
        <w:rPr>
          <w:rFonts w:eastAsia="Times New Roman" w:cs="Arial"/>
          <w:color w:val="000000"/>
          <w:lang w:eastAsia="de-DE"/>
        </w:rPr>
        <w:t>( )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Behinderten-WC Steuerung mit Anzeige-, Not- und Bedienelementen.</w:t>
      </w:r>
    </w:p>
    <w:p w14:paraId="3A459A5D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E62B1A">
        <w:rPr>
          <w:rFonts w:eastAsia="Times New Roman" w:cs="Arial"/>
          <w:color w:val="000000"/>
          <w:lang w:eastAsia="de-DE"/>
        </w:rPr>
        <w:t>( )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Radar "Eagle </w:t>
      </w:r>
      <w:proofErr w:type="spellStart"/>
      <w:r w:rsidRPr="00E62B1A">
        <w:rPr>
          <w:rFonts w:eastAsia="Times New Roman" w:cs="Arial"/>
          <w:color w:val="000000"/>
          <w:lang w:eastAsia="de-DE"/>
        </w:rPr>
        <w:t>one</w:t>
      </w:r>
      <w:proofErr w:type="spellEnd"/>
      <w:r w:rsidRPr="00E62B1A">
        <w:rPr>
          <w:rFonts w:eastAsia="Times New Roman" w:cs="Arial"/>
          <w:color w:val="000000"/>
          <w:lang w:eastAsia="de-DE"/>
        </w:rPr>
        <w:t>" Bewegungsmelder als Öffnungsimpulsgeber, mit Querverkehrsausblendung</w:t>
      </w:r>
    </w:p>
    <w:p w14:paraId="1B3FA1C7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E62B1A">
        <w:rPr>
          <w:rFonts w:eastAsia="Times New Roman" w:cs="Arial"/>
          <w:color w:val="000000"/>
          <w:lang w:eastAsia="de-DE"/>
        </w:rPr>
        <w:t>( )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Zutrittsterminal ST11-02-PZ mit Schlüsseltaster (UP)</w:t>
      </w:r>
    </w:p>
    <w:p w14:paraId="732E0769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E62B1A">
        <w:rPr>
          <w:rFonts w:eastAsia="Times New Roman" w:cs="Arial"/>
          <w:color w:val="000000"/>
          <w:lang w:eastAsia="de-DE"/>
        </w:rPr>
        <w:t>( )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Zutrittsterminal CT11-2 mit Codetastatur (UP) </w:t>
      </w:r>
    </w:p>
    <w:p w14:paraId="47DF4938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E62B1A">
        <w:rPr>
          <w:rFonts w:eastAsia="Times New Roman" w:cs="Arial"/>
          <w:color w:val="000000"/>
          <w:lang w:eastAsia="de-DE"/>
        </w:rPr>
        <w:t>( )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Zutrittsterminal CTL11-2 mit Codetaster und berührungslosem ID-Leser (UP)</w:t>
      </w:r>
    </w:p>
    <w:p w14:paraId="5C08CFC5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E62B1A">
        <w:rPr>
          <w:rFonts w:eastAsia="Times New Roman" w:cs="Arial"/>
          <w:color w:val="000000"/>
          <w:lang w:eastAsia="de-DE"/>
        </w:rPr>
        <w:t>( )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externe Programmbedienkonsole BEDIX, als UP Montage</w:t>
      </w:r>
    </w:p>
    <w:p w14:paraId="59179E05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 xml:space="preserve">zur Einstellung aller Betriebsarten Anzeige </w:t>
      </w:r>
      <w:proofErr w:type="gramStart"/>
      <w:r w:rsidRPr="00E62B1A">
        <w:rPr>
          <w:rFonts w:eastAsia="Times New Roman" w:cs="Arial"/>
          <w:color w:val="000000"/>
          <w:lang w:eastAsia="de-DE"/>
        </w:rPr>
        <w:t>der  Menüsteuerungen</w:t>
      </w:r>
      <w:proofErr w:type="gramEnd"/>
      <w:r w:rsidRPr="00E62B1A">
        <w:rPr>
          <w:rFonts w:eastAsia="Times New Roman" w:cs="Arial"/>
          <w:color w:val="000000"/>
          <w:lang w:eastAsia="de-DE"/>
        </w:rPr>
        <w:t xml:space="preserve"> sowie der Fehlercodes.</w:t>
      </w:r>
    </w:p>
    <w:p w14:paraId="7A15FD68" w14:textId="77777777" w:rsidR="00E62B1A" w:rsidRPr="00E62B1A" w:rsidRDefault="00E62B1A" w:rsidP="00E62B1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62B1A">
        <w:rPr>
          <w:rFonts w:eastAsia="Times New Roman" w:cs="Arial"/>
          <w:color w:val="000000"/>
          <w:lang w:eastAsia="de-DE"/>
        </w:rPr>
        <w:t xml:space="preserve"> </w:t>
      </w:r>
    </w:p>
    <w:p w14:paraId="60E1DF73" w14:textId="32C50C01" w:rsidR="00426830" w:rsidRPr="00F14C5A" w:rsidRDefault="00426830" w:rsidP="00E62B1A">
      <w:pPr>
        <w:spacing w:after="0" w:line="240" w:lineRule="auto"/>
      </w:pP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BAFF" w14:textId="77777777" w:rsidR="00D37885" w:rsidRDefault="00D37885" w:rsidP="007F1863">
      <w:pPr>
        <w:spacing w:after="0" w:line="240" w:lineRule="auto"/>
      </w:pPr>
      <w:r>
        <w:separator/>
      </w:r>
    </w:p>
  </w:endnote>
  <w:endnote w:type="continuationSeparator" w:id="0">
    <w:p w14:paraId="23131FC0" w14:textId="77777777" w:rsidR="00D37885" w:rsidRDefault="00D37885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8794" w14:textId="77777777" w:rsidR="00C56CF0" w:rsidRDefault="00C56C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9780" w14:textId="77777777" w:rsidR="00C56CF0" w:rsidRDefault="00C56C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B2C6" w14:textId="77777777" w:rsidR="00D37885" w:rsidRDefault="00D37885" w:rsidP="007F1863">
      <w:pPr>
        <w:spacing w:after="0" w:line="240" w:lineRule="auto"/>
      </w:pPr>
      <w:r>
        <w:separator/>
      </w:r>
    </w:p>
  </w:footnote>
  <w:footnote w:type="continuationSeparator" w:id="0">
    <w:p w14:paraId="36605060" w14:textId="77777777" w:rsidR="00D37885" w:rsidRDefault="00D37885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5603" w14:textId="77777777" w:rsidR="00C56CF0" w:rsidRDefault="00C56C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47B7C992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3569970" cy="1001486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10014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406E00A3" w14:textId="4E3A38AF" w:rsidR="00C56CF0" w:rsidRDefault="006F03A9"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ECO </w:t>
                          </w:r>
                          <w:r w:rsidR="00C56CF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ETS 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281.1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406E00A3" w14:textId="4E3A38AF" w:rsidR="00C56CF0" w:rsidRDefault="006F03A9"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ECO </w:t>
                    </w:r>
                    <w:r w:rsidR="00C56CF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ETS 42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3BCD" w14:textId="77777777" w:rsidR="00C56CF0" w:rsidRDefault="00C56C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03A9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6CF0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37885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62B1A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2023-07-05T11:18:00Z</dcterms:created>
  <dcterms:modified xsi:type="dcterms:W3CDTF">2023-07-05T11:19:00Z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